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7A1E" w14:textId="77777777" w:rsidR="00917B8A" w:rsidRPr="00EB431B" w:rsidRDefault="00917B8A">
      <w:pPr>
        <w:rPr>
          <w:rFonts w:cstheme="minorHAnsi"/>
          <w:sz w:val="24"/>
          <w:szCs w:val="24"/>
        </w:rPr>
      </w:pPr>
    </w:p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EB431B" w:rsidRPr="00EB431B" w14:paraId="429A7EF0" w14:textId="77777777" w:rsidTr="00F832EE">
        <w:trPr>
          <w:trHeight w:val="302"/>
        </w:trPr>
        <w:tc>
          <w:tcPr>
            <w:tcW w:w="3722" w:type="dxa"/>
          </w:tcPr>
          <w:p w14:paraId="23FFC710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496" w:type="dxa"/>
          </w:tcPr>
          <w:p w14:paraId="26847573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431B" w:rsidRPr="00EB431B" w14:paraId="62E49C9C" w14:textId="77777777" w:rsidTr="00F832EE">
        <w:trPr>
          <w:trHeight w:val="496"/>
        </w:trPr>
        <w:tc>
          <w:tcPr>
            <w:tcW w:w="3722" w:type="dxa"/>
          </w:tcPr>
          <w:p w14:paraId="3C04A5F0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496" w:type="dxa"/>
          </w:tcPr>
          <w:p w14:paraId="195EBF7B" w14:textId="427BDB30" w:rsidR="00BD4086" w:rsidRPr="00EB431B" w:rsidRDefault="00016B04" w:rsidP="00957233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B431B">
              <w:rPr>
                <w:rFonts w:cstheme="minorHAnsi"/>
                <w:sz w:val="24"/>
                <w:szCs w:val="24"/>
                <w:shd w:val="clear" w:color="auto" w:fill="FFFFFF"/>
              </w:rPr>
              <w:t>közútkezelői hozzájárulás közút mellett építmény elhelyezéséhez</w:t>
            </w:r>
          </w:p>
        </w:tc>
      </w:tr>
      <w:tr w:rsidR="00EB431B" w:rsidRPr="00EB431B" w14:paraId="01C4ED05" w14:textId="77777777" w:rsidTr="00F832EE">
        <w:trPr>
          <w:trHeight w:val="645"/>
        </w:trPr>
        <w:tc>
          <w:tcPr>
            <w:tcW w:w="3722" w:type="dxa"/>
          </w:tcPr>
          <w:p w14:paraId="7758FF16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496" w:type="dxa"/>
          </w:tcPr>
          <w:p w14:paraId="75EC3E09" w14:textId="77777777" w:rsidR="00016B04" w:rsidRPr="00EB431B" w:rsidRDefault="00016B04" w:rsidP="00965346">
            <w:pPr>
              <w:ind w:right="61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B431B">
              <w:rPr>
                <w:rFonts w:cstheme="minorHAnsi"/>
                <w:sz w:val="24"/>
                <w:szCs w:val="24"/>
                <w:shd w:val="clear" w:color="auto" w:fill="FFFFFF"/>
              </w:rPr>
              <w:t>A közút kezelőjének hozzájárulása szükséges külterületen a közút tengelyétől számított ötven méteren belül építmény elhelyezéséhez, bővítéséhez, rendeltetésének megváltoztatásához, valamint belterületen – a közút mellett – ipari, kereskedelmi, vendéglátó-ipari, továbbá egyéb szolgáltatási célú építmény építéséhez, bővítéséhez, rendeltetésének megváltoztatásához, továbbá amennyiben az elhelyezendő építmény dőlési távolsága a közút határát keresztezi.</w:t>
            </w:r>
          </w:p>
          <w:p w14:paraId="2C3ED6D8" w14:textId="766AAFEE" w:rsidR="00BD4086" w:rsidRPr="00EB431B" w:rsidRDefault="00BD4086" w:rsidP="009C42C9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EB431B" w:rsidRPr="00EB431B" w14:paraId="4B30942D" w14:textId="77777777" w:rsidTr="00F832EE">
        <w:trPr>
          <w:trHeight w:val="911"/>
        </w:trPr>
        <w:tc>
          <w:tcPr>
            <w:tcW w:w="3722" w:type="dxa"/>
          </w:tcPr>
          <w:p w14:paraId="7AC59667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0927F977" w14:textId="77777777" w:rsidR="00BD4086" w:rsidRPr="00EB431B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496" w:type="dxa"/>
          </w:tcPr>
          <w:p w14:paraId="5D9A0100" w14:textId="77777777" w:rsidR="00BD4086" w:rsidRPr="00EB431B" w:rsidRDefault="0076792C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Bármely személy</w:t>
            </w:r>
          </w:p>
          <w:p w14:paraId="782554BB" w14:textId="77777777" w:rsidR="00BD4086" w:rsidRPr="00EB431B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EB431B" w:rsidRPr="00EB431B" w14:paraId="23E635EC" w14:textId="77777777" w:rsidTr="00F832EE">
        <w:trPr>
          <w:trHeight w:val="655"/>
        </w:trPr>
        <w:tc>
          <w:tcPr>
            <w:tcW w:w="3722" w:type="dxa"/>
          </w:tcPr>
          <w:p w14:paraId="21B16122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496" w:type="dxa"/>
          </w:tcPr>
          <w:p w14:paraId="6D2AE957" w14:textId="37C16F4C" w:rsidR="00F832EE" w:rsidRPr="00EB431B" w:rsidRDefault="00F832EE" w:rsidP="00F832EE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 xml:space="preserve">Gazdasági tevékenységet végzők esetén: e-papíron </w:t>
            </w:r>
          </w:p>
          <w:p w14:paraId="611CAB58" w14:textId="41597C94" w:rsidR="00F832EE" w:rsidRPr="00EB431B" w:rsidRDefault="00F832EE" w:rsidP="00F832EE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Magánszemélyek esetén: postai úton vagy személyesen, e-</w:t>
            </w:r>
            <w:r w:rsidR="00904023" w:rsidRPr="00EB431B">
              <w:rPr>
                <w:rFonts w:cstheme="minorHAnsi"/>
                <w:sz w:val="24"/>
                <w:szCs w:val="24"/>
              </w:rPr>
              <w:t>papíron</w:t>
            </w:r>
          </w:p>
        </w:tc>
      </w:tr>
      <w:tr w:rsidR="00EB431B" w:rsidRPr="00EB431B" w14:paraId="71559320" w14:textId="77777777" w:rsidTr="00F832EE">
        <w:trPr>
          <w:trHeight w:val="537"/>
        </w:trPr>
        <w:tc>
          <w:tcPr>
            <w:tcW w:w="3722" w:type="dxa"/>
          </w:tcPr>
          <w:p w14:paraId="51AF683D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496" w:type="dxa"/>
          </w:tcPr>
          <w:p w14:paraId="513ECD44" w14:textId="4D0B7D62" w:rsidR="00F832EE" w:rsidRPr="00EB431B" w:rsidRDefault="00207611" w:rsidP="00F832EE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B431B" w:rsidRPr="00EB431B" w14:paraId="79354F4E" w14:textId="77777777" w:rsidTr="00F832EE">
        <w:trPr>
          <w:trHeight w:val="952"/>
        </w:trPr>
        <w:tc>
          <w:tcPr>
            <w:tcW w:w="3722" w:type="dxa"/>
          </w:tcPr>
          <w:p w14:paraId="7AFA2244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496" w:type="dxa"/>
          </w:tcPr>
          <w:p w14:paraId="69017D6B" w14:textId="53CA82B2" w:rsidR="00F832EE" w:rsidRPr="00EB431B" w:rsidRDefault="00F832EE" w:rsidP="00F832EE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Kérelem előterjesztésétől számított 21 napon belül nyilatkozik.</w:t>
            </w:r>
          </w:p>
        </w:tc>
      </w:tr>
      <w:tr w:rsidR="00EB431B" w:rsidRPr="00EB431B" w14:paraId="64B4AFA1" w14:textId="77777777" w:rsidTr="00F832EE">
        <w:trPr>
          <w:trHeight w:val="421"/>
        </w:trPr>
        <w:tc>
          <w:tcPr>
            <w:tcW w:w="3722" w:type="dxa"/>
          </w:tcPr>
          <w:p w14:paraId="0D305096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496" w:type="dxa"/>
          </w:tcPr>
          <w:p w14:paraId="5F8F7443" w14:textId="77777777" w:rsidR="00F832EE" w:rsidRPr="00EB431B" w:rsidRDefault="00F832EE" w:rsidP="00F832EE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EB431B">
              <w:rPr>
                <w:rFonts w:asciiTheme="minorHAnsi" w:hAnsiTheme="minorHAnsi" w:cstheme="minorHAnsi"/>
                <w:kern w:val="28"/>
              </w:rPr>
              <w:t>az igénybevétel helyét, célját,</w:t>
            </w:r>
          </w:p>
          <w:p w14:paraId="0065BA95" w14:textId="5635E361" w:rsidR="00F832EE" w:rsidRPr="00EB431B" w:rsidRDefault="00F832EE" w:rsidP="00F832EE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EB431B">
              <w:rPr>
                <w:rFonts w:asciiTheme="minorHAnsi" w:hAnsiTheme="minorHAnsi" w:cstheme="minorHAnsi"/>
                <w:kern w:val="28"/>
              </w:rPr>
              <w:t>annak a személynek (szervezetnek) a nevét és címét, akinek az érdekében az igénybevétel történik (a hozzájárulás jogosultja):</w:t>
            </w:r>
          </w:p>
          <w:p w14:paraId="59B38E10" w14:textId="77777777" w:rsidR="00F832EE" w:rsidRPr="00EB431B" w:rsidRDefault="00F832EE" w:rsidP="00F832EE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EB431B">
              <w:rPr>
                <w:rFonts w:asciiTheme="minorHAnsi" w:hAnsiTheme="minorHAnsi" w:cstheme="minorHAnsi"/>
                <w:kern w:val="28"/>
              </w:rPr>
              <w:t>az érintett ingatlan azonosításához szükséges ingatlan-nyilvántartási adatokat.</w:t>
            </w:r>
          </w:p>
          <w:p w14:paraId="585DF4E6" w14:textId="77777777" w:rsidR="00F832EE" w:rsidRPr="00EB431B" w:rsidRDefault="00F832EE" w:rsidP="00F832EE">
            <w:pPr>
              <w:ind w:left="194" w:hanging="194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A kérelemhez mellékelni kell:</w:t>
            </w:r>
          </w:p>
          <w:p w14:paraId="2788F1CD" w14:textId="42118426" w:rsidR="00F832EE" w:rsidRPr="00EB431B" w:rsidRDefault="00F832EE" w:rsidP="00F832EE">
            <w:pPr>
              <w:pStyle w:val="NormlWeb"/>
              <w:numPr>
                <w:ilvl w:val="0"/>
                <w:numId w:val="5"/>
              </w:numPr>
              <w:spacing w:before="0" w:beforeAutospacing="0" w:after="20" w:afterAutospacing="0"/>
              <w:jc w:val="both"/>
              <w:rPr>
                <w:rFonts w:asciiTheme="minorHAnsi" w:hAnsiTheme="minorHAnsi" w:cstheme="minorHAnsi"/>
                <w:kern w:val="28"/>
              </w:rPr>
            </w:pPr>
            <w:r w:rsidRPr="00EB431B">
              <w:rPr>
                <w:rFonts w:asciiTheme="minorHAnsi" w:hAnsiTheme="minorHAnsi" w:cstheme="minorHAnsi"/>
                <w:kern w:val="28"/>
              </w:rPr>
              <w:t>az igénybevételt feltüntető tervet (helyszínrajz, vázlat, műszaki leírás) 2 példányban,</w:t>
            </w:r>
          </w:p>
          <w:p w14:paraId="119037AD" w14:textId="0DCAF305" w:rsidR="00F832EE" w:rsidRPr="00EB431B" w:rsidRDefault="00F832EE" w:rsidP="00F832EE">
            <w:pPr>
              <w:ind w:left="194" w:hanging="194"/>
              <w:rPr>
                <w:rFonts w:cstheme="minorHAnsi"/>
                <w:sz w:val="24"/>
                <w:szCs w:val="24"/>
              </w:rPr>
            </w:pPr>
          </w:p>
        </w:tc>
      </w:tr>
      <w:tr w:rsidR="00EB431B" w:rsidRPr="00EB431B" w14:paraId="4E3F032C" w14:textId="77777777" w:rsidTr="00F832EE">
        <w:trPr>
          <w:trHeight w:val="497"/>
        </w:trPr>
        <w:tc>
          <w:tcPr>
            <w:tcW w:w="3722" w:type="dxa"/>
          </w:tcPr>
          <w:p w14:paraId="02C28DC8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496" w:type="dxa"/>
          </w:tcPr>
          <w:p w14:paraId="7CC5E068" w14:textId="27276B11" w:rsidR="00F832EE" w:rsidRPr="00EB431B" w:rsidRDefault="00F832EE" w:rsidP="00F832EE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Az eljárás</w:t>
            </w:r>
            <w:r w:rsidR="00207611" w:rsidRPr="00EB431B">
              <w:rPr>
                <w:rFonts w:cstheme="minorHAnsi"/>
                <w:sz w:val="24"/>
                <w:szCs w:val="24"/>
              </w:rPr>
              <w:t xml:space="preserve"> díj- és</w:t>
            </w:r>
            <w:r w:rsidRPr="00EB431B">
              <w:rPr>
                <w:rFonts w:cstheme="minorHAnsi"/>
                <w:sz w:val="24"/>
                <w:szCs w:val="24"/>
              </w:rPr>
              <w:t xml:space="preserve"> illetékmentes.</w:t>
            </w:r>
          </w:p>
        </w:tc>
      </w:tr>
      <w:tr w:rsidR="00EB431B" w:rsidRPr="00EB431B" w14:paraId="1F3109A5" w14:textId="77777777" w:rsidTr="00F832EE">
        <w:trPr>
          <w:trHeight w:val="363"/>
        </w:trPr>
        <w:tc>
          <w:tcPr>
            <w:tcW w:w="3722" w:type="dxa"/>
          </w:tcPr>
          <w:p w14:paraId="62699675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496" w:type="dxa"/>
          </w:tcPr>
          <w:p w14:paraId="07BE00CA" w14:textId="77777777" w:rsidR="00F832EE" w:rsidRPr="00EB431B" w:rsidRDefault="00F832EE" w:rsidP="00F832EE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Kecskemét Megyei Jogú Város Jegyzője</w:t>
            </w:r>
          </w:p>
        </w:tc>
      </w:tr>
      <w:tr w:rsidR="00EB431B" w:rsidRPr="00EB431B" w14:paraId="04A82552" w14:textId="77777777" w:rsidTr="00F832EE">
        <w:trPr>
          <w:trHeight w:val="848"/>
        </w:trPr>
        <w:tc>
          <w:tcPr>
            <w:tcW w:w="3722" w:type="dxa"/>
          </w:tcPr>
          <w:p w14:paraId="374BC4A0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496" w:type="dxa"/>
          </w:tcPr>
          <w:p w14:paraId="6E304929" w14:textId="34370B97" w:rsidR="00F832EE" w:rsidRPr="00EB431B" w:rsidRDefault="00F832EE" w:rsidP="00F832EE">
            <w:pPr>
              <w:pStyle w:val="Szvegtrzs"/>
              <w:spacing w:before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EB431B">
              <w:rPr>
                <w:rFonts w:asciiTheme="minorHAnsi" w:hAnsiTheme="minorHAnsi" w:cstheme="minorHAnsi"/>
                <w:sz w:val="22"/>
                <w:szCs w:val="22"/>
              </w:rPr>
              <w:t xml:space="preserve">Bács-Kiskun Megyei Kormányhivatal Kecskeméti Járási Hivatala Közlekedési és Fogyasztóvédelemi Főosztály Útügyi Osztály (6000 Kecskemét, Szent István krt. 19/a.) </w:t>
            </w:r>
          </w:p>
          <w:p w14:paraId="70C3051D" w14:textId="7C7F212C" w:rsidR="00F832EE" w:rsidRPr="00EB431B" w:rsidRDefault="00F832EE" w:rsidP="00F832EE">
            <w:pPr>
              <w:spacing w:line="259" w:lineRule="auto"/>
              <w:ind w:right="56"/>
              <w:rPr>
                <w:rFonts w:cstheme="minorHAnsi"/>
                <w:sz w:val="24"/>
                <w:szCs w:val="24"/>
              </w:rPr>
            </w:pPr>
          </w:p>
        </w:tc>
      </w:tr>
      <w:tr w:rsidR="00EB431B" w:rsidRPr="00EB431B" w14:paraId="4E423854" w14:textId="77777777" w:rsidTr="00F832EE">
        <w:tblPrEx>
          <w:tblCellMar>
            <w:right w:w="52" w:type="dxa"/>
          </w:tblCellMar>
        </w:tblPrEx>
        <w:trPr>
          <w:trHeight w:val="375"/>
        </w:trPr>
        <w:tc>
          <w:tcPr>
            <w:tcW w:w="3722" w:type="dxa"/>
          </w:tcPr>
          <w:p w14:paraId="41AC70F6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lastRenderedPageBreak/>
              <w:t>Egyéb információk</w:t>
            </w:r>
          </w:p>
        </w:tc>
        <w:tc>
          <w:tcPr>
            <w:tcW w:w="5496" w:type="dxa"/>
          </w:tcPr>
          <w:p w14:paraId="0F7673B9" w14:textId="5F8470D3" w:rsidR="00F832EE" w:rsidRPr="00EB431B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A hozzájárulásban a közút kezelője a közút állagának védelme, a forgalom biztonsága érdekében feltételeket írhat elő.</w:t>
            </w:r>
          </w:p>
        </w:tc>
      </w:tr>
      <w:tr w:rsidR="00EB431B" w:rsidRPr="00EB431B" w14:paraId="2F916297" w14:textId="77777777" w:rsidTr="00F832EE">
        <w:tblPrEx>
          <w:tblCellMar>
            <w:right w:w="52" w:type="dxa"/>
          </w:tblCellMar>
        </w:tblPrEx>
        <w:trPr>
          <w:trHeight w:val="539"/>
        </w:trPr>
        <w:tc>
          <w:tcPr>
            <w:tcW w:w="3722" w:type="dxa"/>
          </w:tcPr>
          <w:p w14:paraId="5D77CA3A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496" w:type="dxa"/>
          </w:tcPr>
          <w:p w14:paraId="5795F97F" w14:textId="77777777" w:rsidR="00F832EE" w:rsidRPr="00EB431B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B431B" w:rsidRPr="00EB431B" w14:paraId="3739CDEA" w14:textId="77777777" w:rsidTr="00F832EE">
        <w:tblPrEx>
          <w:tblCellMar>
            <w:right w:w="52" w:type="dxa"/>
          </w:tblCellMar>
        </w:tblPrEx>
        <w:trPr>
          <w:trHeight w:val="505"/>
        </w:trPr>
        <w:tc>
          <w:tcPr>
            <w:tcW w:w="3722" w:type="dxa"/>
          </w:tcPr>
          <w:p w14:paraId="77801272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496" w:type="dxa"/>
          </w:tcPr>
          <w:p w14:paraId="07508638" w14:textId="77777777" w:rsidR="00F832EE" w:rsidRPr="00EB431B" w:rsidRDefault="00F832EE" w:rsidP="00F832EE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B431B" w:rsidRPr="00EB431B" w14:paraId="3CFE8A51" w14:textId="77777777" w:rsidTr="00F832EE">
        <w:tblPrEx>
          <w:tblCellMar>
            <w:right w:w="52" w:type="dxa"/>
          </w:tblCellMar>
        </w:tblPrEx>
        <w:trPr>
          <w:trHeight w:val="1767"/>
        </w:trPr>
        <w:tc>
          <w:tcPr>
            <w:tcW w:w="3722" w:type="dxa"/>
          </w:tcPr>
          <w:p w14:paraId="3F9D4CFE" w14:textId="77777777" w:rsidR="00207611" w:rsidRPr="00EB431B" w:rsidRDefault="00207611" w:rsidP="00207611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Vonatkozó jogszabályok</w:t>
            </w:r>
          </w:p>
        </w:tc>
        <w:tc>
          <w:tcPr>
            <w:tcW w:w="5496" w:type="dxa"/>
          </w:tcPr>
          <w:p w14:paraId="54696F22" w14:textId="77777777" w:rsidR="00207611" w:rsidRPr="00EB431B" w:rsidRDefault="00EB431B" w:rsidP="00207611">
            <w:pPr>
              <w:spacing w:line="259" w:lineRule="auto"/>
              <w:rPr>
                <w:rFonts w:cstheme="minorHAnsi"/>
              </w:rPr>
            </w:pPr>
            <w:hyperlink r:id="rId6" w:history="1">
              <w:r w:rsidR="00207611" w:rsidRPr="00EB431B">
                <w:rPr>
                  <w:rStyle w:val="Hiperhivatkozs"/>
                  <w:rFonts w:cstheme="minorHAnsi"/>
                  <w:color w:val="auto"/>
                </w:rPr>
                <w:t>A közúti közlekedésről szóló 1988. évi I. törvény</w:t>
              </w:r>
            </w:hyperlink>
          </w:p>
          <w:p w14:paraId="143128FF" w14:textId="0EFEE882" w:rsidR="00207611" w:rsidRPr="00EB431B" w:rsidRDefault="00EB431B" w:rsidP="00207611">
            <w:pPr>
              <w:spacing w:after="160" w:line="259" w:lineRule="auto"/>
              <w:jc w:val="both"/>
              <w:rPr>
                <w:rStyle w:val="Hiperhivatkozs"/>
                <w:rFonts w:cstheme="minorHAnsi"/>
                <w:color w:val="auto"/>
                <w:sz w:val="24"/>
                <w:szCs w:val="24"/>
              </w:rPr>
            </w:pPr>
            <w:hyperlink r:id="rId7" w:history="1">
              <w:r w:rsidR="00BA250D" w:rsidRPr="00EB431B">
                <w:rPr>
                  <w:rStyle w:val="Hiperhivatkozs"/>
                  <w:rFonts w:cstheme="minorHAnsi"/>
                  <w:color w:val="auto"/>
                </w:rPr>
                <w:t xml:space="preserve">Az útügyi </w:t>
              </w:r>
              <w:r w:rsidR="00207611" w:rsidRPr="00EB431B">
                <w:rPr>
                  <w:rStyle w:val="Hiperhivatkozs"/>
                  <w:rFonts w:cstheme="minorHAnsi"/>
                  <w:color w:val="auto"/>
                </w:rPr>
                <w:t xml:space="preserve">igazgatásáról szóló </w:t>
              </w:r>
              <w:r w:rsidR="00BA250D" w:rsidRPr="00EB431B">
                <w:rPr>
                  <w:rStyle w:val="Hiperhivatkozs"/>
                  <w:rFonts w:cstheme="minorHAnsi"/>
                  <w:color w:val="auto"/>
                </w:rPr>
                <w:t>26/2021</w:t>
              </w:r>
              <w:r w:rsidR="00207611" w:rsidRPr="00EB431B">
                <w:rPr>
                  <w:rStyle w:val="Hiperhivatkozs"/>
                  <w:rFonts w:cstheme="minorHAnsi"/>
                  <w:color w:val="auto"/>
                </w:rPr>
                <w:t>. (V</w:t>
              </w:r>
              <w:r w:rsidR="00BA250D" w:rsidRPr="00EB431B">
                <w:rPr>
                  <w:rStyle w:val="Hiperhivatkozs"/>
                  <w:rFonts w:cstheme="minorHAnsi"/>
                  <w:color w:val="auto"/>
                </w:rPr>
                <w:t>I</w:t>
              </w:r>
              <w:r w:rsidR="00207611" w:rsidRPr="00EB431B">
                <w:rPr>
                  <w:rStyle w:val="Hiperhivatkozs"/>
                  <w:rFonts w:cstheme="minorHAnsi"/>
                  <w:color w:val="auto"/>
                </w:rPr>
                <w:t>.</w:t>
              </w:r>
              <w:r w:rsidR="00BA250D" w:rsidRPr="00EB431B">
                <w:rPr>
                  <w:rStyle w:val="Hiperhivatkozs"/>
                  <w:rFonts w:cstheme="minorHAnsi"/>
                  <w:color w:val="auto"/>
                </w:rPr>
                <w:t>28</w:t>
              </w:r>
              <w:r w:rsidR="00207611" w:rsidRPr="00EB431B">
                <w:rPr>
                  <w:rStyle w:val="Hiperhivatkozs"/>
                  <w:rFonts w:cstheme="minorHAnsi"/>
                  <w:color w:val="auto"/>
                </w:rPr>
                <w:t xml:space="preserve">.) </w:t>
              </w:r>
              <w:r w:rsidR="00BA250D" w:rsidRPr="00EB431B">
                <w:rPr>
                  <w:rStyle w:val="Hiperhivatkozs"/>
                  <w:rFonts w:cstheme="minorHAnsi"/>
                  <w:color w:val="auto"/>
                </w:rPr>
                <w:t>IT</w:t>
              </w:r>
              <w:r w:rsidR="00207611" w:rsidRPr="00EB431B">
                <w:rPr>
                  <w:rStyle w:val="Hiperhivatkozs"/>
                  <w:rFonts w:cstheme="minorHAnsi"/>
                  <w:color w:val="auto"/>
                </w:rPr>
                <w:t>M rendelet</w:t>
              </w:r>
            </w:hyperlink>
          </w:p>
        </w:tc>
      </w:tr>
      <w:tr w:rsidR="00EB431B" w:rsidRPr="00EB431B" w14:paraId="3308DFA3" w14:textId="77777777" w:rsidTr="00F832EE">
        <w:tblPrEx>
          <w:tblCellMar>
            <w:right w:w="52" w:type="dxa"/>
          </w:tblCellMar>
        </w:tblPrEx>
        <w:trPr>
          <w:trHeight w:val="2064"/>
        </w:trPr>
        <w:tc>
          <w:tcPr>
            <w:tcW w:w="3722" w:type="dxa"/>
          </w:tcPr>
          <w:p w14:paraId="0C0D0A70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496" w:type="dxa"/>
          </w:tcPr>
          <w:p w14:paraId="46B3FC4E" w14:textId="38B3A800" w:rsidR="00F832EE" w:rsidRPr="00EB431B" w:rsidRDefault="00F832EE" w:rsidP="00F832EE">
            <w:pPr>
              <w:spacing w:after="16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  <w:u w:val="single"/>
              </w:rPr>
              <w:t>Építmény</w:t>
            </w:r>
            <w:r w:rsidRPr="00EB431B">
              <w:rPr>
                <w:rFonts w:cstheme="minorHAnsi"/>
                <w:sz w:val="24"/>
                <w:szCs w:val="24"/>
              </w:rPr>
              <w:t>: építési tevékenységgel létrehozott, illetve késztermékként az építési helyszínre szállított, – rendeltetésére, szerkezeti megoldására, anyagára, készültségi fokára és kiterjedésére tekintet nélkül – minden olyan helyhez kötött műszaki alkotás, amely a terepszint, a víz vagy az azok alatti talaj, illetve azok feletti légtér megváltoztatásával, beépítésével jön létre (az építmény az épület és műtárgy gyűjtőfogalma).”</w:t>
            </w:r>
          </w:p>
          <w:p w14:paraId="40A98D26" w14:textId="77777777" w:rsidR="00F832EE" w:rsidRPr="00EB431B" w:rsidRDefault="00F832EE" w:rsidP="00F832EE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  <w:u w:val="single"/>
              </w:rPr>
              <w:t xml:space="preserve">Épület: </w:t>
            </w:r>
            <w:r w:rsidRPr="00EB431B">
              <w:rPr>
                <w:rFonts w:cstheme="minorHAnsi"/>
                <w:sz w:val="24"/>
                <w:szCs w:val="24"/>
              </w:rPr>
              <w:t>jellemzően emberi tartózkodás céljára szolgáló építmény, amely szerkezeteivel részben vagy egészben teret, helyiséget vagy ezek együttesét zárja körül meghatározott rendeltetés vagy rendeltetésével összefüggő tevékenység, avagy rendszeres munkavégzés, illetve tárolás céljából.”</w:t>
            </w:r>
          </w:p>
          <w:p w14:paraId="56388590" w14:textId="77777777" w:rsidR="00F832EE" w:rsidRPr="00EB431B" w:rsidRDefault="00F832EE" w:rsidP="00F832EE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37C4FA9" w14:textId="1ED82A77" w:rsidR="00F832EE" w:rsidRPr="00EB431B" w:rsidRDefault="00F832EE" w:rsidP="00F832EE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  <w:u w:val="single"/>
              </w:rPr>
              <w:t>Építési tevékenység</w:t>
            </w:r>
            <w:r w:rsidRPr="00EB431B">
              <w:rPr>
                <w:rFonts w:cstheme="minorHAnsi"/>
                <w:sz w:val="24"/>
                <w:szCs w:val="24"/>
              </w:rPr>
              <w:t>: építmény, építményrész, épületegyüttes megépítése, átalakítása, bővítése, felújítása, helyreállítása, korszerűsítése, karbantartása, javítása, lebontása, elmozdítása érdekében végzett építési-szerelési vagy bontási munka végzése.</w:t>
            </w:r>
          </w:p>
        </w:tc>
      </w:tr>
      <w:tr w:rsidR="00EB431B" w:rsidRPr="00EB431B" w14:paraId="4B99FB39" w14:textId="77777777" w:rsidTr="00F832EE">
        <w:tblPrEx>
          <w:tblCellMar>
            <w:right w:w="52" w:type="dxa"/>
          </w:tblCellMar>
        </w:tblPrEx>
        <w:trPr>
          <w:trHeight w:val="640"/>
        </w:trPr>
        <w:tc>
          <w:tcPr>
            <w:tcW w:w="3722" w:type="dxa"/>
          </w:tcPr>
          <w:p w14:paraId="76783080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496" w:type="dxa"/>
          </w:tcPr>
          <w:p w14:paraId="7BE998DB" w14:textId="63D010E4" w:rsidR="00F832EE" w:rsidRPr="00EB431B" w:rsidRDefault="006D699A" w:rsidP="00207611">
            <w:p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E-papíron intézhető</w:t>
            </w:r>
          </w:p>
        </w:tc>
      </w:tr>
      <w:tr w:rsidR="00EB431B" w:rsidRPr="00EB431B" w14:paraId="45FA66F6" w14:textId="77777777" w:rsidTr="00F832EE">
        <w:trPr>
          <w:trHeight w:val="225"/>
        </w:trPr>
        <w:tc>
          <w:tcPr>
            <w:tcW w:w="3722" w:type="dxa"/>
          </w:tcPr>
          <w:p w14:paraId="6D47A8AC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496" w:type="dxa"/>
          </w:tcPr>
          <w:p w14:paraId="711ECF0F" w14:textId="77777777" w:rsidR="00F832EE" w:rsidRPr="00EB431B" w:rsidRDefault="00F832EE" w:rsidP="00F832EE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EB431B" w:rsidRPr="00EB431B" w14:paraId="1D0E7B20" w14:textId="77777777" w:rsidTr="00F832EE">
        <w:trPr>
          <w:trHeight w:val="273"/>
        </w:trPr>
        <w:tc>
          <w:tcPr>
            <w:tcW w:w="3722" w:type="dxa"/>
          </w:tcPr>
          <w:p w14:paraId="324CD697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496" w:type="dxa"/>
          </w:tcPr>
          <w:p w14:paraId="48D135EC" w14:textId="72347EB8" w:rsidR="00F832EE" w:rsidRPr="00EB431B" w:rsidRDefault="00EB431B" w:rsidP="00F832EE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hyperlink r:id="rId8" w:history="1">
              <w:r w:rsidR="00F832EE" w:rsidRPr="00EB431B">
                <w:rPr>
                  <w:rStyle w:val="Hiperhivatkozs"/>
                  <w:rFonts w:cstheme="minorHAnsi"/>
                  <w:color w:val="auto"/>
                  <w:sz w:val="24"/>
                  <w:szCs w:val="24"/>
                </w:rPr>
                <w:t>Kecskemét Megyei Jogú Város Polgármesteri Hivatala</w:t>
              </w:r>
            </w:hyperlink>
          </w:p>
        </w:tc>
      </w:tr>
      <w:tr w:rsidR="00EB431B" w:rsidRPr="00EB431B" w14:paraId="6AF4155D" w14:textId="77777777" w:rsidTr="00F832EE">
        <w:trPr>
          <w:trHeight w:val="793"/>
        </w:trPr>
        <w:tc>
          <w:tcPr>
            <w:tcW w:w="3722" w:type="dxa"/>
          </w:tcPr>
          <w:p w14:paraId="4F962CAD" w14:textId="77777777" w:rsidR="00F832EE" w:rsidRPr="00EB431B" w:rsidRDefault="00F832EE" w:rsidP="00F832E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496" w:type="dxa"/>
          </w:tcPr>
          <w:p w14:paraId="4F3CCF93" w14:textId="7D9A3C3A" w:rsidR="00F832EE" w:rsidRPr="00EB431B" w:rsidRDefault="00F832EE" w:rsidP="00F832EE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 w:rsidRPr="00EB431B">
              <w:rPr>
                <w:rFonts w:cstheme="minorHAnsi"/>
                <w:sz w:val="24"/>
                <w:szCs w:val="24"/>
              </w:rPr>
              <w:t>családi ház, gazdasági épület, telephely építése, irodaház építése</w:t>
            </w:r>
          </w:p>
        </w:tc>
      </w:tr>
    </w:tbl>
    <w:p w14:paraId="30E47E42" w14:textId="77777777" w:rsidR="00BD4086" w:rsidRPr="00EB431B" w:rsidRDefault="00BD4086">
      <w:pPr>
        <w:rPr>
          <w:rFonts w:cstheme="minorHAnsi"/>
          <w:sz w:val="24"/>
          <w:szCs w:val="24"/>
        </w:rPr>
      </w:pPr>
    </w:p>
    <w:sectPr w:rsidR="00BD4086" w:rsidRPr="00EB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425A9"/>
    <w:multiLevelType w:val="multilevel"/>
    <w:tmpl w:val="F13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659E"/>
    <w:multiLevelType w:val="hybridMultilevel"/>
    <w:tmpl w:val="72D82B6C"/>
    <w:lvl w:ilvl="0" w:tplc="C80E438A">
      <w:start w:val="5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016B04"/>
    <w:rsid w:val="000B6574"/>
    <w:rsid w:val="001219E2"/>
    <w:rsid w:val="0012514D"/>
    <w:rsid w:val="001901F1"/>
    <w:rsid w:val="00207611"/>
    <w:rsid w:val="00262D76"/>
    <w:rsid w:val="00265E53"/>
    <w:rsid w:val="003A08B1"/>
    <w:rsid w:val="003D2662"/>
    <w:rsid w:val="003F4945"/>
    <w:rsid w:val="0040702A"/>
    <w:rsid w:val="00452B40"/>
    <w:rsid w:val="00643F21"/>
    <w:rsid w:val="00650EFE"/>
    <w:rsid w:val="006759E4"/>
    <w:rsid w:val="006D699A"/>
    <w:rsid w:val="0076792C"/>
    <w:rsid w:val="00892245"/>
    <w:rsid w:val="008F3256"/>
    <w:rsid w:val="00904023"/>
    <w:rsid w:val="00917B8A"/>
    <w:rsid w:val="00957233"/>
    <w:rsid w:val="00964579"/>
    <w:rsid w:val="00965346"/>
    <w:rsid w:val="009734CD"/>
    <w:rsid w:val="009A3CA3"/>
    <w:rsid w:val="009B68CC"/>
    <w:rsid w:val="009C42C9"/>
    <w:rsid w:val="00AB45AC"/>
    <w:rsid w:val="00B8772F"/>
    <w:rsid w:val="00B91309"/>
    <w:rsid w:val="00BA250D"/>
    <w:rsid w:val="00BD4086"/>
    <w:rsid w:val="00D7060E"/>
    <w:rsid w:val="00D95256"/>
    <w:rsid w:val="00E016C7"/>
    <w:rsid w:val="00E143C6"/>
    <w:rsid w:val="00EB431B"/>
    <w:rsid w:val="00F526A9"/>
    <w:rsid w:val="00F6214A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FBD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ind w:left="10" w:hanging="10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016B04"/>
    <w:pPr>
      <w:suppressAutoHyphens/>
      <w:spacing w:after="0" w:line="240" w:lineRule="auto"/>
      <w:ind w:right="-9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016B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uiPriority w:val="99"/>
    <w:unhideWhenUsed/>
    <w:rsid w:val="001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734CD"/>
    <w:rPr>
      <w:i/>
      <w:iCs/>
    </w:rPr>
  </w:style>
  <w:style w:type="character" w:styleId="Kiemels2">
    <w:name w:val="Strong"/>
    <w:basedOn w:val="Bekezdsalapbettpusa"/>
    <w:uiPriority w:val="22"/>
    <w:qFormat/>
    <w:rsid w:val="009734CD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20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cskemet.hu/varoshaza/polgarmesteri-hivatal/elerhetosegek-ugyfelszolgalat-irodak" TargetMode="External"/><Relationship Id="rId3" Type="http://schemas.openxmlformats.org/officeDocument/2006/relationships/styles" Target="styles.xml"/><Relationship Id="rId7" Type="http://schemas.openxmlformats.org/officeDocument/2006/relationships/hyperlink" Target="https://njt.hu/jogszabaly/1994-19-20-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jt.hu/jogszabaly/1988-1-00-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4FB0-9E00-4428-A186-B7EA6458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2021-07-27T07:37:00Z</dcterms:created>
  <dcterms:modified xsi:type="dcterms:W3CDTF">2021-07-27T07:37:00Z</dcterms:modified>
</cp:coreProperties>
</file>